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ГОСУДАРСТВЕННЫЙ СТАНДАРТ СОЮЗА ССР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СМЕСИ ЗОЛОШЛАКОВЫЕ ТЕПЛОВЫХ ЭЛЕКТРОСТАНЦИЙ ДЛЯ БЕТОНОВ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Технические</w:t>
      </w:r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  <w:t xml:space="preserve">Mixes of fly-ash and slag of thermal plants for conctetes. </w:t>
      </w:r>
      <w:proofErr w:type="spellStart"/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Specifications</w:t>
      </w:r>
      <w:proofErr w:type="spellEnd"/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введения 1991-07-01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ИНФОРМАЦИОННЫЕ ДАННЫЕ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РАЗРАБОТАН институтом НИИЖБ Госстроя СССР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Л.А.Малинина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д-р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(руководитель темы);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В.Г.Довжик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В.Ф.Степанова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В.А.Дорф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Т.П.Щеблыкина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Т.А.Ухова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И.М.Дробященко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И.С.Хаймов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В.Б.Судаков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О.М.Чуракова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Г.С.Коних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В.Г.Брагинский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В.И.Романов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Ю.П.Чернышев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С.И.Павленко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канд.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А.М.Сергеев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д-р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В.В.Еремеева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Т.А.Фиронова</w:t>
      </w:r>
      <w:proofErr w:type="spellEnd"/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ВНЕСЕН Министерством энергетики и электрификации СССР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УТВЕРЖДЕН И ВВЕДЕН В ДЕЙСТВИЕ постановлением Государственного строительного комитета СССР от 04.02.91 N 4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ВЗАМЕН ГОСТ 25592-83, ТУ 34-31-16502-87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ССЫЛОЧНЫЕ НОРМАТИВНО-ТЕХНИЧЕСКИЕ ДОКУМЕНТЫ     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35"/>
        <w:gridCol w:w="1567"/>
        <w:gridCol w:w="1484"/>
        <w:gridCol w:w="1434"/>
      </w:tblGrid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пункта, приложения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63990" w:rsidRPr="00463990" w:rsidRDefault="00463990" w:rsidP="0046399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7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0"/>
        <w:gridCol w:w="1469"/>
        <w:gridCol w:w="1671"/>
        <w:gridCol w:w="2880"/>
      </w:tblGrid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310.2-76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310.3-76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8269.0-97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3.6, 3.7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8735-88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3.1, 3.3, 3.8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8736-93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9758-86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3.2, 3.6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10538-87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11022-95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22235-76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26633-91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28013-98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2.03.11-85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30108-94   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ПЕРЕИЗДАНИЕ  с изменением N 1, утвержденным постановлением Госстроя России от 4 декабря 2000 г. N 115.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  стандарт распространяется на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золошлаковые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смеси, образующиеся на тепловых электростанциях при совместном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гидроудалении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золы и шлака в процессе сжигания углей в пылевидном состоянии и применяемые в качестве компонента для изготовления строительных растворов, а также тяжелых, легких и ячеистых бетонов для сборных и монолитных бетонных и железобетонных конструкций и изделий.</w:t>
      </w:r>
      <w:proofErr w:type="gramEnd"/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  не распространяется на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золошлаковые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для бетонов гидротехнических сооружений, труб, шпал, опор ЛЭП и специальных видов бетонов.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 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смесей согласно приложению.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ТЕХНИЧЕСКИЕ ТРЕБОВАНИЯ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Золошлаковые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должны соответствовать требованиям настоящего стандарта.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Основные параметры и типы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1.2.1. 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Золошлаковые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состоят из зольной составляющей (частицы золы и шлака размером менее 0,315 мм) и шлаковой, включающей: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шлаковый  песок - зерна размером от 0,315 до 5 (3) мм;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шлаковый  щебень - зерна размером свыше 5 (3) мм.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1.2.2. 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Золошлаковые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в зависимости от зернистого состава подразделяют на типы: крупнозернистые, среднезернистые и мелкозернистые в соответствии с требованиями, указанными в табл.1.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740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8"/>
        <w:gridCol w:w="1922"/>
        <w:gridCol w:w="1879"/>
        <w:gridCol w:w="1821"/>
      </w:tblGrid>
      <w:tr w:rsidR="00463990" w:rsidRPr="00463990" w:rsidTr="00463990">
        <w:trPr>
          <w:tblCellSpacing w:w="0" w:type="dxa"/>
          <w:jc w:val="right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для различных типов </w:t>
            </w:r>
            <w:proofErr w:type="spellStart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золошлаковых</w:t>
            </w:r>
            <w:proofErr w:type="spellEnd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смесей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крупнозернистой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среднезернистой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мелкозернистой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(М)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размер зерен шлака шлаковой составляющей, </w:t>
            </w:r>
            <w:proofErr w:type="gramStart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(3)</w:t>
            </w: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шлаковой составляющей, % по массе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90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50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шлакового щебня в </w:t>
            </w: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шлаковой составляющей, % по массе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Св. 20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Примечание.  В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смесях различных типов содержание зерен шлака, превышающих максимальный размер зерен, должно быть не более 10% по массе.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1.2.3. 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Золошлаковые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по виду сжигаемого угля подразделяют 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антрацитовые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образующиеся при сжигании антрацита, полуантрацита и тощего каменного угля (А);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каменноугольные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образующиеся при сжигании каменного, кроме тощего, угля (КУ);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буроугольные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образующиеся при сжигании бурого угля (Б).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1.2.4. 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Золошлаковые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по виду шлаковой составляющей подразделяют на: смеси с плотным шлаком (</w:t>
      </w:r>
      <w:proofErr w:type="spellStart"/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spellEnd"/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образующиеся в топках с жидким шлакоудалением (средняя плотность зерен более 2,0 г/см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6075E053" wp14:editId="252BA86B">
            <wp:extent cx="101600" cy="222250"/>
            <wp:effectExtent l="0" t="0" r="0" b="6350"/>
            <wp:docPr id="1" name="Рисунок 1" descr="http://www.vashdom.ru/gost/25592-91/25592-91_html_m6db0b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ashdom.ru/gost/25592-91/25592-91_html_m6db0b38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смеси с пористым шлаком (По), образующиеся в топках с твердым шлакоудалением (средняя плотность зерен до 2,0 г/см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16E8E9AA" wp14:editId="0058DB9B">
            <wp:extent cx="101600" cy="222250"/>
            <wp:effectExtent l="0" t="0" r="0" b="6350"/>
            <wp:docPr id="2" name="Рисунок 2" descr="http://www.vashdom.ru/gost/25592-91/25592-91_html_m6db0b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ashdom.ru/gost/25592-91/25592-91_html_m6db0b38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1.2.5. 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Золошлаковые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в зависимости от величины потери массы при прокаливании (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п.п.п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подразделяют на три вида: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  - для железобетонных конструкций и изделий из тяжелого и легкого бетонов;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  - для бетонных конструкций и изделий из тяжелого и легкого бетонов, строительных растворов;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  - для изделий и конструкций из ячеистого бетона.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1.2.6.  Обозначение марки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смесей включает: тип смеси, вид угля, вид шлаковой составляющей в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смеси, обозначение настоящего стандарта.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  условного обозначения марки крупнозернистой антрацитовой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с пористым шлаком, применяемой для железобетонных конструкций: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ЗШС-КАПо-1 ГОСТ 25592-91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Характеристики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  Удельная поверхность мелкозернистой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должна быть не менее 150 м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E6A2E20" wp14:editId="5A78680D">
            <wp:extent cx="101600" cy="222250"/>
            <wp:effectExtent l="0" t="0" r="0" b="6350"/>
            <wp:docPr id="3" name="Рисунок 3" descr="http://www.vashdom.ru/gost/25592-91/25592-91_html_m253c1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ashdom.ru/gost/25592-91/25592-91_html_m253c15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/кг, а полный остаток на сите N 008 - не более 30% по массе.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  Насыпная плотность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для легкого бетона должна быть более 1200 кг/м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28D9B5F1" wp14:editId="43259EFD">
            <wp:extent cx="101600" cy="222250"/>
            <wp:effectExtent l="0" t="0" r="0" b="6350"/>
            <wp:docPr id="4" name="Рисунок 4" descr="http://www.vashdom.ru/gost/25592-91/25592-91_html_m6db0b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ashdom.ru/gost/25592-91/25592-91_html_m6db0b38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  Потеря массы при прокаливании (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п.п.п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определяемая отдельно для зольной и шлаковой составляющих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смеси, не должна превышать значений, указанных в табл.2.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740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5"/>
        <w:gridCol w:w="1673"/>
        <w:gridCol w:w="1560"/>
        <w:gridCol w:w="1953"/>
        <w:gridCol w:w="1577"/>
      </w:tblGrid>
      <w:tr w:rsidR="00463990" w:rsidRPr="00463990" w:rsidTr="00463990">
        <w:trPr>
          <w:tblCellSpacing w:w="0" w:type="dxa"/>
          <w:jc w:val="right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золошлаковой</w:t>
            </w:r>
            <w:proofErr w:type="spellEnd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Составляющая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золошлаковой</w:t>
            </w:r>
            <w:proofErr w:type="spellEnd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П.п.п</w:t>
            </w:r>
            <w:proofErr w:type="spellEnd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золошлаковой</w:t>
            </w:r>
            <w:proofErr w:type="spellEnd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смеси,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 массе, не более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антрацитовой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каменноугольной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буроугольной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Зольная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Шлаковая</w:t>
            </w:r>
            <w:proofErr w:type="gramEnd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пористым шлаком   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Шлаковая</w:t>
            </w:r>
            <w:proofErr w:type="gramEnd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плотным шлаком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Зольная   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Шлаковая</w:t>
            </w:r>
            <w:proofErr w:type="gramEnd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пористым шлаком   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 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Шлаковая</w:t>
            </w:r>
            <w:proofErr w:type="gramEnd"/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плотным шлаком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Зольная   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  Допускается 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зольной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шлаковой составляющих смесей потеря массы при прокаливании (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п.п.п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выше указанной в табл.2, если применение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смесей обосновано специальными исследованиями по коррозионной стойкости арматуры.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1.3.4.  Содержание оксида кальция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CaO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зольной составляющей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и в мелкозернистой смеси должно быть не более 10% по массе.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1.3.5.  Содержание оксида магния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MgO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зольной составляющей смеси и в мелкозернистой смеси должно быть не более 5% по массе.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1.3.6.  Содержание сернистых и сернокислых соединений в пересчете 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209CDDAC" wp14:editId="3CF0D671">
            <wp:extent cx="298450" cy="228600"/>
            <wp:effectExtent l="0" t="0" r="6350" b="0"/>
            <wp:docPr id="5" name="Рисунок 5" descr="http://www.vashdom.ru/gost/25592-91/25592-91_html_m435697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ashdom.ru/gost/25592-91/25592-91_html_m435697a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зольной и шлаковой составляющих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должно быть не более 3% по массе, в том числе сульфидной серы - не более 1% по массе.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1.3.7.  Содержание щелочных оксидов натрия и калия в пересчете 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1DAC999" wp14:editId="3174AF33">
            <wp:extent cx="419100" cy="222250"/>
            <wp:effectExtent l="0" t="0" r="0" b="6350"/>
            <wp:docPr id="6" name="Рисунок 6" descr="http://www.vashdom.ru/gost/25592-91/25592-91_html_m2ace3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vashdom.ru/gost/25592-91/25592-91_html_m2ace323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зольной составляющей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и в мелкозернистой смеси должно быть не более 3% по массе.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1.3.8.  Зольная составляющая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и мелкозернистая смесь в смеси с портландцементом должны обеспечивать равномерность изменения объема при испытании образцов кипячением в воде.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1.3.9.  Шлаковый щебень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должен обладать стойкостью против силикатного и железистого распадов. Потеря массы при определении стойкости против силикатного и железистого распадов должна быть соответственно не более 8 и 5%.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1.3.10.  По морозостойкости шлаковый щебень, входящий в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золошлаковую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смесь, подразделяют на марки: F15, F25, F50, F100, F150, F200. Морозостойкость шлакового щебня характеризуют числом циклов попеременного замораживания и оттаивания, при котором потеря щебня по массе после испытания не превышает значений, установленных в табл.3.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740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3"/>
        <w:gridCol w:w="827"/>
        <w:gridCol w:w="828"/>
        <w:gridCol w:w="828"/>
        <w:gridCol w:w="860"/>
        <w:gridCol w:w="860"/>
        <w:gridCol w:w="1284"/>
      </w:tblGrid>
      <w:tr w:rsidR="00463990" w:rsidRPr="00463990" w:rsidTr="00463990">
        <w:trPr>
          <w:tblCellSpacing w:w="0" w:type="dxa"/>
          <w:jc w:val="right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морозостойкости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по морозостойкости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F150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циклов замораживания - оттаивания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массы щебня из плотного шлака, %, не более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63990" w:rsidRPr="00463990" w:rsidTr="00463990">
        <w:trPr>
          <w:tblCellSpacing w:w="0" w:type="dxa"/>
          <w:jc w:val="right"/>
        </w:trPr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массы щебня из пористого шлака, %, не более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990" w:rsidRPr="00463990" w:rsidRDefault="00463990" w:rsidP="0046399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63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1.3.11  Смеси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золошлаковые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величины  суммарной удельной  эффективной активности естественных радионуклидов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AD4EB00" wp14:editId="654843ED">
            <wp:extent cx="241300" cy="241300"/>
            <wp:effectExtent l="0" t="0" r="6350" b="6350"/>
            <wp:docPr id="7" name="Рисунок 7" descr="http://www.vashdom.ru/gost/25592-91/25592-91_html_m7ecc7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vashdom.ru/gost/25592-91/25592-91_html_m7ecc701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применяют: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 производства  материалов, изделий  и  конструкций,  применяемых   для  строительства и реконструкции жилых и общественных зданий при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99E2081" wp14:editId="1251ADD0">
            <wp:extent cx="241300" cy="241300"/>
            <wp:effectExtent l="0" t="0" r="6350" b="6350"/>
            <wp:docPr id="8" name="Рисунок 8" descr="http://www.vashdom.ru/gost/25592-91/25592-91_html_m7ecc7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vashdom.ru/gost/25592-91/25592-91_html_m7ecc701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370 Бк/кг;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   производства  материалов, изделий  и  конструкций,  применяемых   для  строительства производственных зданий и сооружений, при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F372634" wp14:editId="41C15C1A">
            <wp:extent cx="241300" cy="241300"/>
            <wp:effectExtent l="0" t="0" r="6350" b="6350"/>
            <wp:docPr id="9" name="Рисунок 9" descr="http://www.vashdom.ru/gost/25592-91/25592-91_html_m7ecc7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ashdom.ru/gost/25592-91/25592-91_html_m7ecc701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370 Бк/кг до 740 Бк/кг.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 необходимости  в  национальных  нормах,  действующих   на  территории  государства, величина удельной эффективной активности естественных радионуклидов  может быть изменена в пределах норм, указанных выше.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(Измененная  редакция.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Изм. N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1.3.12. 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Золошлаковая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 не должна содержать засоряющих включений.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1.3.13.  Влажность отгружаемой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должна быть не более 15% по массе. Допускается по согласованию поставщика с потребителем поставка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с большей влажностью.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ПРИЕМКА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Золошлаковая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 должна быть принята техническим контролем поставщика. Приемку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проводят на основе данных предварительной оценки ее качества в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золоотвале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результатов приемочного контроля.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 Порядок проведения предварительной оценки качества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смеси, а также число и способ отбора проб, обеспечивающих их представительность, устанавливают в технологической документации, разработанной в установленном порядке, с учетом конкретных условий работы тепловой станции и объема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золоотвала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 При предварительной оценке качества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проводят испытания в соответствии с пп.1.3.1-1.3.13.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 На основе результатов предварительной оценки качества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на участки, предназначенные для разработки, поставщиком должны быть составлены карты обследования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золоотвала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технические паспорта.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 В техническом паспорте должны быть указаны следующие показатели: наименование станции, вид сжигаемого угля, годовой объем разработки, качественные показатели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  Отгружаемую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золошлаковую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 принимают партиями. Партией считают количество смеси одного типа, одновременно отгружаемое одному потребителю в одном железнодорожном составе или одном судне. При отгрузке автомобильным транспортом партией считают количество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одного типа, отгружаемое одному потребителю в течение суток.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 Приемочный контроль осуществляют в соответствии с требованиями настоящего стандарта путем проведения периодических и приемосдаточных испытаний.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 При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периодичиских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испытаниях определяют: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  раз в неделю - насыпную плотность смеси и плотность зерен шлаковой составляющей;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  раз в квартал - стойкость шлакового щебня против силикатного и железистого распадов, содержание сернистых и сернокислых соединений, оксидов кальция, магния, натрия и калия, а также равномерность изменения объема зольной составляющей смеси или мелкозернистой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смеси;</w:t>
      </w:r>
      <w:proofErr w:type="gramEnd"/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  раз в год - морозостойкость шлакового щебня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и содержание естественных радионуклидов в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2.9.  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приемосдаточных испытаниях каждой партии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определяют: тип смеси, содержание шлаковой и зольной составляющей, потерю массы при прокаливании (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п.п.п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в зольной и шлаковой составляющих, влажность, а также удельную поверхность и остаток на сите N 008 для мелкозернистой смеси.</w:t>
      </w:r>
      <w:proofErr w:type="gramEnd"/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2.10.  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испытаний отбор точечных проб проводят через равные промежутки времени из потока материала при загрузке транспортных средств. Массу точечной пробы принимают в зависимости от наибольшей крупности материала, но не менее, 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  - при верхнем номинальном размере зерен до  5 мм;  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               "               "                 "                 "    20 мм;  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5,0               "               "                 "                 "    40 мм.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  точечных проб от партии должно быть не менее 10.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Точечные  пробы объединяют и получают объединенную пробу, из которой путем последовательного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квартования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образуют лабораторную пробу, масса которой должна быть достаточной для определения всех показателей качества смеси.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  Потребитель имеет право проводить входной контроль соответствия качества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требованиям настоящего стандарта, применяя порядок отбора проб в соответствии с пп.2.10-2.13 ГОСТ 8736. Массу точечной пробы принимают в соответствии с п.2.11 настоящего стандарта.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 случае, когда разработку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золоотвала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специализированная организация потребителя, допускается проводить приемосдаточные и периодические испытания только лабораторией предприятия-потребителя.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  Количество поставляемой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определяют по массе в пересчете на сухое вещество.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  Каждую партию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сопровождают документом о качестве, в котором указывают: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  смеси в соответствии с п.1.2.6;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  и адрес поставщика;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  и адрес потребителя;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  и дату выдачи документа;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  партии и количество смеси;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  транспортных средств и номера накладных;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 приемосдаточных и периодических испытаний.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МЕТОДЫ ИСПЫТАНИЙ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 Зерновой состав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определяют по ГОСТ 8735.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Удельную  поверхность мелкозернистой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и остаток на сите N 008 определяют по ГОСТ 310.2.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 Насыпную плотность и плотность зерен шлаковой составляющей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определяют в сухом состоянии по ГОСТ 9758.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Химический анализ зольной  и шлаковой   составляющих   и  содержание сульфидной серы определяют по ГОСТ 8269.1.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(Измененная  редакция.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Изм. N 1).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 Исключен. Изм. N 1.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 Равномерность изменения объема мелкозернистой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и зольной составляющей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проводят в смеси с портландцементом при соотношении 1:1 (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цемент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:з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ГОСТ 310.3 методом кипячения образцов в воде.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 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Стойкость шлакового щебня против силикатного и железистого распадов, определяют по ГОСТ 8269.0, потерю массы при прокаливании в зольной и шлаковой составляющих определяют по ГОСТ 11022.</w:t>
      </w:r>
      <w:proofErr w:type="gramEnd"/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(Измененная  редакция.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Изм. N 1).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  Морозостойкость шлакового щебня в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определяют по ГОСТ 8269.0.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  Влажность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определяют по ГОСТ 8735.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  Суммарную  удельную активность естественных радионуклидов определяют гамма-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спектрическим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по ГОСТ 30108.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(Измененная  редакция.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Изм. N 1).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ТРАНСПОРТИРОВАНИЕ И ХРАНЕНИЕ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Золошлаковую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 транспортируют в открытых железнодорожных вагонах, полувагонах с люковой разгрузкой и судах, а также в автомобилях согласно Правилам перевозок грузов соответствующим видом транспорта.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  транспортировании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в открытом транспорте поставщик должен принимать меры, предохраняющие ее от распыления.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транспортировании железнодорожным транспортом должны соблюдаться требования ГОСТ 22235 и "Правил перевозок грузов и технических условий погрузки и крепления грузов", утвержденных Министерством путей сообщения. Вагоны следует загружать с учетом полного использования их грузоподъемности.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 Хранение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осуществляется в крытых складах, оборудованных дренажной системой. Допускается хранение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в открытых складах при условии предохранения ее от загрязнения, переувлажнения и смешения с другими материалами.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ОБЛАСТЬ ПРИМЕНЕНИЯ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Рациональные области применения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смесей при изготовлении тяжелых, легких, ячеистых бетонов и строительных растворов для сборного и монолитного строительства устанавливают в зависимости от типа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смеси, ее насыпной плотности, удельной поверхности и химического состава зольной составляющей.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При приготовлении тяжелых бетонов следует применять: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крупнозернистую  смесь с плотной шлаковой составляющей для полной или частичной замены мелкого и крупного заполнителей;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среднезернистую  смесь с плотной шлаковой составляющей для частичной замены заполнителей и цемента;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мелкозернистую  смесь для частичной замены мелкого заполнителя и цемента.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полной замене мелкого и крупного заполнителей в тяжелых бетонах классов до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12,5 следует применять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золошлаковую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 с насыпной плотностью более 1300 кг/м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3E75141" wp14:editId="5C24D087">
            <wp:extent cx="101600" cy="222250"/>
            <wp:effectExtent l="0" t="0" r="0" b="6350"/>
            <wp:docPr id="10" name="Рисунок 10" descr="http://www.vashdom.ru/gost/25592-91/25592-91_html_m6db0b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vashdom.ru/gost/25592-91/25592-91_html_m6db0b38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В15-В25 - с насыпной плотностью более 1400 кг/м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0B60A170" wp14:editId="151E09BA">
            <wp:extent cx="101600" cy="222250"/>
            <wp:effectExtent l="0" t="0" r="0" b="6350"/>
            <wp:docPr id="11" name="Рисунок 11" descr="http://www.vashdom.ru/gost/25592-91/25592-91_html_m6db0b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vashdom.ru/gost/25592-91/25592-91_html_m6db0b38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В30-В40 - с насыпной плотностью более 1600 кг/м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3C67D559" wp14:editId="76709AAF">
            <wp:extent cx="101600" cy="222250"/>
            <wp:effectExtent l="0" t="0" r="0" b="6350"/>
            <wp:docPr id="12" name="Рисунок 12" descr="http://www.vashdom.ru/gost/25592-91/25592-91_html_m6db0b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vashdom.ru/gost/25592-91/25592-91_html_m6db0b38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бетонов железобетонных конструкций содержание зольной составляющей в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должно быть не более 30% по массе и не превышать 50% от массы цемента и зольной составляющей в бетоне, при этом минимальный расход цемента устанавливают по ГОСТ 2663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При приготовлении мелкозернистых бетонов следует применять: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среднезернистую  смесь с плотной шлаковой составляющей для частичной или полной замены песка;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мелкозернистую  смесь для частичной замены песка и цемента.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При приготовлении легких бетонов следует применять: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крупнозернистую  смесь с пористой шлаковой составляющей в качестве заполнителя при производстве шлакобетонов, в том числе и стеновых камней;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среднезернистую  смесь с пористой шлаковой составляющей в качестве заполнителя для производства стеновых камней и мелкого заполнителя для конструкционно-теплоизоляционных и теплоизоляционных бетонов;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мелкозернистую  смесь для полной или частичной замены мелкого заполнителя конструкционно-теплоизоляционных и теплоизоляционных бетонов, а также для частичной замены цемента. Насыпная плотность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смеси, применяемой в качестве мелкого заполнителя для легкого бетона, должна быть не более 1200 кг/м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3F7EA5E" wp14:editId="18E6F6A3">
            <wp:extent cx="101600" cy="222250"/>
            <wp:effectExtent l="0" t="0" r="0" b="6350"/>
            <wp:docPr id="13" name="Рисунок 13" descr="http://www.vashdom.ru/gost/25592-91/25592-91_html_m6db0b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vashdom.ru/gost/25592-91/25592-91_html_m6db0b38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использовании мелкозернистых смесей в качестве мелкого заполнителя в легких бетонах для получения наименьшей теплопроводности следует использовать буроугольные и каменноугольные золы с удельной поверхностью не более 400 м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15A0FABE" wp14:editId="5BC00A30">
            <wp:extent cx="101600" cy="222250"/>
            <wp:effectExtent l="0" t="0" r="0" b="6350"/>
            <wp:docPr id="14" name="Рисунок 14" descr="http://www.vashdom.ru/gost/25592-91/25592-91_html_m253c1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vashdom.ru/gost/25592-91/25592-91_html_m253c15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 и потерей массы при прокаливании не более 10%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 Возможность применения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смесей для полной замены мелкого и крупного заполнителей в тяжелых и легких бетонах, а также оптимальное количество ее для частичной замены заполнителей устанавливают в результате подбора состава бетона на конкретных материалах при условии обеспечения требуемых показателей, качества бетона в изделиях, конструкциях и коррозионной стойкости арматуры.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При полной или частичной замене заполнителей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смесью в целях обеспечения коррозионной стойкости ненапрягаемой арматуры в железобетонных конструкциях, эксплуатируемых в </w:t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неагрессивных средах, содержание зольной составляющей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и мелкозернистой смеси в бетоне не должно превышать расход портландцемента, при этом минимальный расход цемента устанавливают по ГОСТ 26633.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  содержания мелкозернистой смеси или зольной составляющей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золошлаковой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 допускается после проведения специальных исследований по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деформативным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свойствам бетонов и коррозионной стойкости арматуры, выполненных на конкретных материалах.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 Применение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смесей в бетонных и железобетонных конструкциях, предназначенных для работы в агрессивных средах, может быть допущено при условии удовлетворения требований СНиП 2.03.11 "Защита строительных конструкций от коррозии", предъявляемых к качеству бетона в зависимости от назначения конструкций и условия их работы.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 Применение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золошлаковых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смесей в бетонах для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преднапряженных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конструкций, армированных высокопрочной термически упрочненной арматурой, склонной к коррозионному растрескиванию, не допускается без проведения специальных исследований.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 При приготовлении строительных растворов для каменных кладок, отделочных и штукатурных работ следует применять мелкозернистые смеси вида II с плотным и пористым шлаком.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Золошлаковые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смеси, применяемые для строительных растворов, должны соответствовать требованиям п.1.5 ГОСТ 28013.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 При приготовлении ячеистых бетонов следует применять мелкозернистую </w:t>
      </w:r>
      <w:proofErr w:type="spell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золошлаковую</w:t>
      </w:r>
      <w:proofErr w:type="spell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 с удельной поверхностью не менее 256 м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429AF659" wp14:editId="4DE98B9F">
            <wp:extent cx="101600" cy="222250"/>
            <wp:effectExtent l="0" t="0" r="0" b="6350"/>
            <wp:docPr id="15" name="Рисунок 15" descr="http://www.vashdom.ru/gost/25592-91/25592-91_html_m253c1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vashdom.ru/gost/25592-91/25592-91_html_m253c15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 и полным остатком на сите N 008 не более 20% в качестве кремнеземистого компонента с целью экономии вяжущего и заполнителей. Применение мелкозернистой смеси с удельной поверхностью менее 250 м</w:t>
      </w:r>
      <w:r w:rsidRPr="00463990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 wp14:anchorId="139E440E" wp14:editId="39A59924">
            <wp:extent cx="101600" cy="222250"/>
            <wp:effectExtent l="0" t="0" r="0" b="6350"/>
            <wp:docPr id="16" name="Рисунок 16" descr="http://www.vashdom.ru/gost/25592-91/25592-91_html_m253c1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vashdom.ru/gost/25592-91/25592-91_html_m253c15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 допускается после предварительного помола.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документа сверен </w:t>
      </w:r>
      <w:proofErr w:type="gramStart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официальное издание</w:t>
      </w:r>
    </w:p>
    <w:p w:rsidR="00463990" w:rsidRPr="00463990" w:rsidRDefault="00463990" w:rsidP="004639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63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Госстрой России, ГУП ЦПП, 2002 </w:t>
      </w:r>
      <w:r w:rsidRPr="004639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 w:type="textWrapping" w:clear="all"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463990" w:rsidRPr="00463990" w:rsidTr="00463990">
        <w:trPr>
          <w:tblCellSpacing w:w="0" w:type="dxa"/>
          <w:jc w:val="center"/>
        </w:trPr>
        <w:tc>
          <w:tcPr>
            <w:tcW w:w="5000" w:type="pct"/>
            <w:hideMark/>
          </w:tcPr>
          <w:p w:rsidR="00463990" w:rsidRPr="00463990" w:rsidRDefault="00463990" w:rsidP="00463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E2F13" w:rsidRDefault="006E2F13"/>
    <w:sectPr w:rsidR="006E2F13" w:rsidSect="00AB59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91"/>
    <w:rsid w:val="0003188C"/>
    <w:rsid w:val="000354AA"/>
    <w:rsid w:val="00035F9C"/>
    <w:rsid w:val="000362D1"/>
    <w:rsid w:val="00043BD9"/>
    <w:rsid w:val="00056AA4"/>
    <w:rsid w:val="000647D7"/>
    <w:rsid w:val="0007168B"/>
    <w:rsid w:val="00084D35"/>
    <w:rsid w:val="00086E61"/>
    <w:rsid w:val="000873C7"/>
    <w:rsid w:val="000875E7"/>
    <w:rsid w:val="00092CBC"/>
    <w:rsid w:val="000A481F"/>
    <w:rsid w:val="000A57BC"/>
    <w:rsid w:val="000C1353"/>
    <w:rsid w:val="000F62E1"/>
    <w:rsid w:val="00141F55"/>
    <w:rsid w:val="001425BB"/>
    <w:rsid w:val="001446F9"/>
    <w:rsid w:val="0017581F"/>
    <w:rsid w:val="00190C17"/>
    <w:rsid w:val="001A6FBA"/>
    <w:rsid w:val="001F078F"/>
    <w:rsid w:val="001F0EED"/>
    <w:rsid w:val="00252749"/>
    <w:rsid w:val="002763A1"/>
    <w:rsid w:val="00280774"/>
    <w:rsid w:val="002A30C3"/>
    <w:rsid w:val="002A5515"/>
    <w:rsid w:val="002D43E0"/>
    <w:rsid w:val="00356786"/>
    <w:rsid w:val="0038735D"/>
    <w:rsid w:val="003A4D9D"/>
    <w:rsid w:val="003C41B2"/>
    <w:rsid w:val="003F1B01"/>
    <w:rsid w:val="0040791A"/>
    <w:rsid w:val="00410CBB"/>
    <w:rsid w:val="00410EB4"/>
    <w:rsid w:val="00463990"/>
    <w:rsid w:val="00483AC2"/>
    <w:rsid w:val="004854A6"/>
    <w:rsid w:val="00493B03"/>
    <w:rsid w:val="00496AA9"/>
    <w:rsid w:val="004A1EF4"/>
    <w:rsid w:val="004B1BCD"/>
    <w:rsid w:val="004C36C3"/>
    <w:rsid w:val="004C7B15"/>
    <w:rsid w:val="004D1083"/>
    <w:rsid w:val="00506855"/>
    <w:rsid w:val="00527F5D"/>
    <w:rsid w:val="00547F8F"/>
    <w:rsid w:val="00552FC0"/>
    <w:rsid w:val="00553D61"/>
    <w:rsid w:val="00567BE2"/>
    <w:rsid w:val="00591496"/>
    <w:rsid w:val="005967EA"/>
    <w:rsid w:val="005A0F94"/>
    <w:rsid w:val="005B409D"/>
    <w:rsid w:val="005D2BE0"/>
    <w:rsid w:val="005D47E2"/>
    <w:rsid w:val="00651637"/>
    <w:rsid w:val="00654322"/>
    <w:rsid w:val="00660AEC"/>
    <w:rsid w:val="0066365E"/>
    <w:rsid w:val="006A07D8"/>
    <w:rsid w:val="006C48EF"/>
    <w:rsid w:val="006E1A4B"/>
    <w:rsid w:val="006E2F13"/>
    <w:rsid w:val="006E7F78"/>
    <w:rsid w:val="00707AB7"/>
    <w:rsid w:val="0071059F"/>
    <w:rsid w:val="00712991"/>
    <w:rsid w:val="00717B58"/>
    <w:rsid w:val="007243F0"/>
    <w:rsid w:val="00745BFE"/>
    <w:rsid w:val="0079184F"/>
    <w:rsid w:val="007A11FF"/>
    <w:rsid w:val="007C0262"/>
    <w:rsid w:val="007D4D8D"/>
    <w:rsid w:val="00832455"/>
    <w:rsid w:val="0084075B"/>
    <w:rsid w:val="00842103"/>
    <w:rsid w:val="00870267"/>
    <w:rsid w:val="008B50BB"/>
    <w:rsid w:val="008B62E4"/>
    <w:rsid w:val="0094175C"/>
    <w:rsid w:val="0095173D"/>
    <w:rsid w:val="009970A2"/>
    <w:rsid w:val="009A2DA0"/>
    <w:rsid w:val="009A67A3"/>
    <w:rsid w:val="009B3145"/>
    <w:rsid w:val="009D43B4"/>
    <w:rsid w:val="00A45DB0"/>
    <w:rsid w:val="00A51C8C"/>
    <w:rsid w:val="00A55063"/>
    <w:rsid w:val="00A77C2B"/>
    <w:rsid w:val="00AB5919"/>
    <w:rsid w:val="00AC15A9"/>
    <w:rsid w:val="00AC4A63"/>
    <w:rsid w:val="00B77FCD"/>
    <w:rsid w:val="00B84C62"/>
    <w:rsid w:val="00B86C38"/>
    <w:rsid w:val="00B916B2"/>
    <w:rsid w:val="00B939C0"/>
    <w:rsid w:val="00BC4F98"/>
    <w:rsid w:val="00BD1824"/>
    <w:rsid w:val="00C02547"/>
    <w:rsid w:val="00C10619"/>
    <w:rsid w:val="00C22DD2"/>
    <w:rsid w:val="00C535E6"/>
    <w:rsid w:val="00C56298"/>
    <w:rsid w:val="00CB4590"/>
    <w:rsid w:val="00CB6E06"/>
    <w:rsid w:val="00CC1070"/>
    <w:rsid w:val="00CD2C15"/>
    <w:rsid w:val="00CE005C"/>
    <w:rsid w:val="00D0621A"/>
    <w:rsid w:val="00D23498"/>
    <w:rsid w:val="00D350FC"/>
    <w:rsid w:val="00DD06A7"/>
    <w:rsid w:val="00DD7BF7"/>
    <w:rsid w:val="00DF25B3"/>
    <w:rsid w:val="00E24452"/>
    <w:rsid w:val="00E42778"/>
    <w:rsid w:val="00E809FB"/>
    <w:rsid w:val="00E8216B"/>
    <w:rsid w:val="00EA3EF5"/>
    <w:rsid w:val="00ED2FC6"/>
    <w:rsid w:val="00EE2744"/>
    <w:rsid w:val="00EE463A"/>
    <w:rsid w:val="00F052F8"/>
    <w:rsid w:val="00F14075"/>
    <w:rsid w:val="00F26DF2"/>
    <w:rsid w:val="00F517C4"/>
    <w:rsid w:val="00F67F28"/>
    <w:rsid w:val="00F74820"/>
    <w:rsid w:val="00F7648F"/>
    <w:rsid w:val="00F86E42"/>
    <w:rsid w:val="00FA4014"/>
    <w:rsid w:val="00FB026F"/>
    <w:rsid w:val="00FB67CE"/>
    <w:rsid w:val="00FC74F9"/>
    <w:rsid w:val="00FD16F5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2013-01-09T12:12:00Z</dcterms:created>
  <dcterms:modified xsi:type="dcterms:W3CDTF">2013-01-09T12:28:00Z</dcterms:modified>
</cp:coreProperties>
</file>